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07CF">
      <w:pPr>
        <w:widowControl/>
        <w:jc w:val="center"/>
        <w:rPr>
          <w:rFonts w:hint="eastAsia" w:ascii="宋体" w:hAnsi="宋体" w:eastAsia="宋体" w:cs="宋体"/>
          <w:kern w:val="0"/>
          <w:sz w:val="32"/>
          <w:szCs w:val="32"/>
          <w:lang w:eastAsia="zh-CN"/>
        </w:rPr>
      </w:pPr>
      <w:bookmarkStart w:id="0" w:name="_Hlk61276285"/>
      <w:r>
        <w:rPr>
          <w:rFonts w:hint="eastAsia" w:ascii="宋体" w:hAnsi="宋体" w:eastAsia="宋体" w:cs="宋体"/>
          <w:kern w:val="0"/>
          <w:sz w:val="32"/>
          <w:szCs w:val="32"/>
          <w:lang w:eastAsia="zh-CN"/>
        </w:rPr>
        <w:t>广州医科大学附属第四医院2025年度医疗设备听证公告（十二）</w:t>
      </w:r>
    </w:p>
    <w:p w14:paraId="0571D93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12E450C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02E6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45335B8F">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1661C8F1">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3A2A4C6B">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43D2E60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3E5C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309F72AA">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3358" w:type="dxa"/>
            <w:vAlign w:val="center"/>
          </w:tcPr>
          <w:p w14:paraId="1C526D67">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亚低温治疗仪</w:t>
            </w:r>
          </w:p>
        </w:tc>
        <w:tc>
          <w:tcPr>
            <w:tcW w:w="648" w:type="dxa"/>
            <w:vAlign w:val="center"/>
          </w:tcPr>
          <w:p w14:paraId="0F4D3F0F">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0E2F1506">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对患者（小于等于10KG）全身或局部进行物理降温或升温，达到调控体温的目的。</w:t>
            </w:r>
            <w:r>
              <w:rPr>
                <w:rFonts w:hint="eastAsia" w:ascii="宋体" w:hAnsi="宋体" w:eastAsia="宋体" w:cs="宋体"/>
                <w:kern w:val="0"/>
                <w:szCs w:val="21"/>
                <w:lang w:val="en-US" w:eastAsia="zh-CN"/>
              </w:rPr>
              <w:t>可</w:t>
            </w:r>
            <w:r>
              <w:rPr>
                <w:rFonts w:hint="default" w:ascii="宋体" w:hAnsi="宋体" w:eastAsia="宋体" w:cs="宋体"/>
                <w:kern w:val="0"/>
                <w:szCs w:val="21"/>
                <w:lang w:val="en-US" w:eastAsia="zh-CN"/>
              </w:rPr>
              <w:t>为新生儿提供环保无氟治疗环境；热惯性小，制冷/制热切换快；</w:t>
            </w:r>
            <w:r>
              <w:rPr>
                <w:rFonts w:hint="eastAsia" w:ascii="宋体" w:hAnsi="宋体" w:eastAsia="宋体" w:cs="宋体"/>
                <w:kern w:val="0"/>
                <w:szCs w:val="21"/>
                <w:lang w:val="en-US" w:eastAsia="zh-CN"/>
              </w:rPr>
              <w:t>具备多种操作模式等</w:t>
            </w:r>
          </w:p>
        </w:tc>
      </w:tr>
      <w:tr w14:paraId="7F27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16242491">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3358" w:type="dxa"/>
            <w:vAlign w:val="center"/>
          </w:tcPr>
          <w:p w14:paraId="57B81924">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脑电监测仪</w:t>
            </w:r>
          </w:p>
        </w:tc>
        <w:tc>
          <w:tcPr>
            <w:tcW w:w="648" w:type="dxa"/>
            <w:vAlign w:val="center"/>
          </w:tcPr>
          <w:p w14:paraId="50EE1799">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78ABA57C">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对患者脑电信号的采集、记录、处理以及脉搏血氧生理参数、高铁血红蛋白参数、灌注变异性指数、总血氧含量</w:t>
            </w:r>
            <w:r>
              <w:rPr>
                <w:rFonts w:hint="eastAsia" w:ascii="宋体" w:hAnsi="宋体" w:eastAsia="宋体" w:cs="宋体"/>
                <w:kern w:val="0"/>
                <w:szCs w:val="21"/>
                <w:lang w:val="en-US" w:eastAsia="zh-CN"/>
              </w:rPr>
              <w:t>等</w:t>
            </w:r>
            <w:r>
              <w:rPr>
                <w:rFonts w:hint="default" w:ascii="宋体" w:hAnsi="宋体" w:eastAsia="宋体" w:cs="宋体"/>
                <w:kern w:val="0"/>
                <w:szCs w:val="21"/>
                <w:lang w:val="en-US" w:eastAsia="zh-CN"/>
              </w:rPr>
              <w:t>的监测。适用人群：新生儿，婴儿和儿童。实时监测显示多种趋势图，包括振幅整合脑电图（aEEG）/总功率（TP）/爆发抑制比（BSR）/爆发间隔（IBI）/每分钟爆发次数（BPM） /包络趋势图（envelope）等</w:t>
            </w:r>
          </w:p>
        </w:tc>
      </w:tr>
      <w:tr w14:paraId="290F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3D360943">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3358" w:type="dxa"/>
            <w:vAlign w:val="center"/>
          </w:tcPr>
          <w:p w14:paraId="40903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新生儿蓝光治疗仪</w:t>
            </w:r>
          </w:p>
        </w:tc>
        <w:tc>
          <w:tcPr>
            <w:tcW w:w="648" w:type="dxa"/>
            <w:vAlign w:val="center"/>
          </w:tcPr>
          <w:p w14:paraId="51AD1BDE">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5490" w:type="dxa"/>
            <w:vAlign w:val="center"/>
          </w:tcPr>
          <w:p w14:paraId="4E55D830">
            <w:pPr>
              <w:widowControl/>
              <w:spacing w:before="100" w:beforeAutospacing="1" w:after="100" w:afterAutospacing="1"/>
              <w:jc w:val="both"/>
              <w:rPr>
                <w:rFonts w:hint="default" w:ascii="宋体" w:hAnsi="宋体" w:eastAsia="宋体" w:cs="宋体"/>
                <w:kern w:val="0"/>
                <w:szCs w:val="21"/>
                <w:lang w:val="en-US" w:eastAsia="zh-CN"/>
              </w:rPr>
            </w:pPr>
            <w:r>
              <w:rPr>
                <w:rFonts w:hint="eastAsia" w:ascii="宋体" w:hAnsi="宋体" w:eastAsia="宋体"/>
                <w:color w:val="auto"/>
                <w:sz w:val="21"/>
                <w:szCs w:val="21"/>
                <w:lang w:val="en-US" w:eastAsia="zh-CN"/>
              </w:rPr>
              <w:t>用于</w:t>
            </w:r>
            <w:r>
              <w:rPr>
                <w:rFonts w:hint="eastAsia" w:ascii="宋体" w:hAnsi="宋体" w:eastAsia="宋体"/>
                <w:color w:val="auto"/>
                <w:sz w:val="21"/>
                <w:szCs w:val="21"/>
              </w:rPr>
              <w:t>降低新生儿体内的胆红素浓度，治疗新生儿黄疸</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配</w:t>
            </w:r>
            <w:r>
              <w:rPr>
                <w:rFonts w:hint="eastAsia" w:ascii="宋体" w:hAnsi="宋体" w:eastAsia="宋体"/>
                <w:color w:val="auto"/>
                <w:sz w:val="21"/>
                <w:szCs w:val="21"/>
              </w:rPr>
              <w:t>台车</w:t>
            </w:r>
            <w:r>
              <w:rPr>
                <w:rFonts w:hint="eastAsia" w:ascii="宋体" w:hAnsi="宋体" w:eastAsia="宋体"/>
                <w:color w:val="auto"/>
                <w:sz w:val="21"/>
                <w:szCs w:val="21"/>
                <w:lang w:eastAsia="zh-CN"/>
              </w:rPr>
              <w:t>，</w:t>
            </w:r>
            <w:r>
              <w:rPr>
                <w:rFonts w:hint="eastAsia" w:ascii="宋体" w:hAnsi="宋体" w:eastAsia="宋体"/>
                <w:color w:val="auto"/>
                <w:sz w:val="21"/>
                <w:szCs w:val="21"/>
              </w:rPr>
              <w:t>蓝光灯的高度和角度可灵活调节</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显示屏：</w:t>
            </w:r>
            <w:r>
              <w:rPr>
                <w:rFonts w:hint="eastAsia" w:ascii="宋体" w:hAnsi="宋体" w:eastAsia="宋体"/>
                <w:color w:val="auto"/>
                <w:sz w:val="21"/>
                <w:szCs w:val="21"/>
              </w:rPr>
              <w:t>≥</w:t>
            </w:r>
            <w:r>
              <w:rPr>
                <w:rFonts w:ascii="宋体" w:hAnsi="宋体" w:eastAsia="宋体"/>
                <w:color w:val="auto"/>
                <w:sz w:val="21"/>
                <w:szCs w:val="21"/>
              </w:rPr>
              <w:t>4</w:t>
            </w:r>
            <w:r>
              <w:rPr>
                <w:rFonts w:hint="eastAsia" w:ascii="宋体" w:hAnsi="宋体" w:eastAsia="宋体"/>
                <w:color w:val="auto"/>
                <w:sz w:val="21"/>
                <w:szCs w:val="21"/>
              </w:rPr>
              <w:t>英寸彩色触摸屏</w:t>
            </w:r>
            <w:r>
              <w:rPr>
                <w:rFonts w:hint="eastAsia" w:ascii="宋体" w:hAnsi="宋体" w:eastAsia="宋体"/>
                <w:color w:val="auto"/>
                <w:sz w:val="21"/>
                <w:szCs w:val="21"/>
                <w:lang w:eastAsia="zh-CN"/>
              </w:rPr>
              <w:t>，</w:t>
            </w:r>
            <w:r>
              <w:rPr>
                <w:rFonts w:hint="eastAsia" w:ascii="宋体" w:hAnsi="宋体" w:eastAsia="宋体"/>
                <w:color w:val="auto"/>
                <w:sz w:val="21"/>
                <w:szCs w:val="21"/>
              </w:rPr>
              <w:t>光照有效面积≥</w:t>
            </w:r>
            <w:r>
              <w:rPr>
                <w:rFonts w:ascii="宋体" w:hAnsi="宋体" w:eastAsia="宋体"/>
                <w:color w:val="auto"/>
                <w:sz w:val="21"/>
                <w:szCs w:val="21"/>
              </w:rPr>
              <w:t>5</w:t>
            </w:r>
            <w:r>
              <w:rPr>
                <w:rFonts w:hint="eastAsia" w:ascii="宋体" w:hAnsi="宋体" w:eastAsia="宋体"/>
                <w:color w:val="auto"/>
                <w:sz w:val="21"/>
                <w:szCs w:val="21"/>
              </w:rPr>
              <w:t>0cm×</w:t>
            </w:r>
            <w:r>
              <w:rPr>
                <w:rFonts w:ascii="宋体" w:hAnsi="宋体" w:eastAsia="宋体"/>
                <w:color w:val="auto"/>
                <w:sz w:val="21"/>
                <w:szCs w:val="21"/>
              </w:rPr>
              <w:t>25</w:t>
            </w:r>
            <w:r>
              <w:rPr>
                <w:rFonts w:hint="eastAsia" w:ascii="宋体" w:hAnsi="宋体" w:eastAsia="宋体"/>
                <w:color w:val="auto"/>
                <w:sz w:val="21"/>
                <w:szCs w:val="21"/>
              </w:rPr>
              <w:t>cm，最大有效面积≥</w:t>
            </w:r>
            <w:r>
              <w:rPr>
                <w:rFonts w:ascii="宋体" w:hAnsi="宋体" w:eastAsia="宋体"/>
                <w:color w:val="auto"/>
                <w:sz w:val="21"/>
                <w:szCs w:val="21"/>
              </w:rPr>
              <w:t>6</w:t>
            </w:r>
            <w:r>
              <w:rPr>
                <w:rFonts w:hint="eastAsia" w:ascii="宋体" w:hAnsi="宋体" w:eastAsia="宋体"/>
                <w:color w:val="auto"/>
                <w:sz w:val="21"/>
                <w:szCs w:val="21"/>
              </w:rPr>
              <w:t>0cm×</w:t>
            </w:r>
            <w:r>
              <w:rPr>
                <w:rFonts w:ascii="宋体" w:hAnsi="宋体" w:eastAsia="宋体"/>
                <w:color w:val="auto"/>
                <w:sz w:val="21"/>
                <w:szCs w:val="21"/>
              </w:rPr>
              <w:t>3</w:t>
            </w:r>
            <w:r>
              <w:rPr>
                <w:rFonts w:hint="eastAsia" w:ascii="宋体" w:hAnsi="宋体" w:eastAsia="宋体"/>
                <w:color w:val="auto"/>
                <w:sz w:val="21"/>
                <w:szCs w:val="21"/>
                <w:lang w:val="en-US" w:eastAsia="zh-CN"/>
              </w:rPr>
              <w:t>0</w:t>
            </w:r>
            <w:r>
              <w:rPr>
                <w:rFonts w:hint="eastAsia" w:ascii="宋体" w:hAnsi="宋体" w:eastAsia="宋体"/>
                <w:color w:val="auto"/>
                <w:sz w:val="21"/>
                <w:szCs w:val="21"/>
              </w:rPr>
              <w:t>cm。蓝光输出强度调节范围：20%～100%，≥5级可调，避免过度光疗</w:t>
            </w:r>
            <w:r>
              <w:rPr>
                <w:rFonts w:hint="eastAsia" w:ascii="宋体" w:hAnsi="宋体" w:eastAsia="宋体"/>
                <w:color w:val="auto"/>
                <w:sz w:val="21"/>
                <w:szCs w:val="21"/>
                <w:lang w:eastAsia="zh-CN"/>
              </w:rPr>
              <w:t>。</w:t>
            </w:r>
            <w:r>
              <w:rPr>
                <w:rFonts w:hint="eastAsia" w:ascii="宋体" w:hAnsi="宋体" w:eastAsia="宋体"/>
                <w:color w:val="auto"/>
                <w:sz w:val="21"/>
                <w:szCs w:val="21"/>
              </w:rPr>
              <w:t>光源为 LED，使用寿命≥50000 小时</w:t>
            </w:r>
            <w:r>
              <w:rPr>
                <w:rFonts w:hint="eastAsia" w:ascii="宋体" w:hAnsi="宋体" w:eastAsia="宋体"/>
                <w:color w:val="auto"/>
                <w:sz w:val="21"/>
                <w:szCs w:val="21"/>
                <w:lang w:val="en-US" w:eastAsia="zh-CN"/>
              </w:rPr>
              <w:t>等</w:t>
            </w:r>
          </w:p>
        </w:tc>
      </w:tr>
      <w:tr w14:paraId="23D6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5212580C">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358" w:type="dxa"/>
            <w:vAlign w:val="center"/>
          </w:tcPr>
          <w:p w14:paraId="3D692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儿童物理降温仪</w:t>
            </w:r>
          </w:p>
        </w:tc>
        <w:tc>
          <w:tcPr>
            <w:tcW w:w="648" w:type="dxa"/>
            <w:vAlign w:val="center"/>
          </w:tcPr>
          <w:p w14:paraId="5793F3DB">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5490" w:type="dxa"/>
            <w:vAlign w:val="center"/>
          </w:tcPr>
          <w:p w14:paraId="7A1DB2DB">
            <w:pPr>
              <w:widowControl/>
              <w:spacing w:before="100" w:beforeAutospacing="1" w:after="100" w:afterAutospacing="1"/>
              <w:jc w:val="both"/>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用于</w:t>
            </w:r>
            <w:r>
              <w:rPr>
                <w:rFonts w:hint="default" w:ascii="宋体" w:hAnsi="宋体" w:eastAsia="宋体" w:cs="宋体"/>
                <w:kern w:val="0"/>
                <w:szCs w:val="21"/>
                <w:lang w:val="en-US" w:eastAsia="zh-CN"/>
              </w:rPr>
              <w:t>对人体进行体外物理降温功能，以达到辅助调节人体温度的目的。</w:t>
            </w:r>
            <w:r>
              <w:rPr>
                <w:rFonts w:hint="eastAsia" w:ascii="宋体" w:hAnsi="宋体" w:eastAsia="宋体" w:cs="宋体"/>
                <w:kern w:val="0"/>
                <w:szCs w:val="21"/>
                <w:lang w:val="en-US" w:eastAsia="zh-CN"/>
              </w:rPr>
              <w:t>各通道可</w:t>
            </w:r>
            <w:r>
              <w:rPr>
                <w:rFonts w:hint="default" w:ascii="宋体" w:hAnsi="宋体" w:eastAsia="宋体" w:cs="宋体"/>
                <w:kern w:val="0"/>
                <w:szCs w:val="21"/>
                <w:lang w:val="en-US" w:eastAsia="zh-CN"/>
              </w:rPr>
              <w:t>分别控制，毯/帽可同时工作</w:t>
            </w:r>
            <w:r>
              <w:rPr>
                <w:rFonts w:hint="eastAsia" w:ascii="宋体" w:hAnsi="宋体" w:eastAsia="宋体" w:cs="宋体"/>
                <w:kern w:val="0"/>
                <w:szCs w:val="21"/>
                <w:lang w:val="en-US" w:eastAsia="zh-CN"/>
              </w:rPr>
              <w:t>，</w:t>
            </w:r>
            <w:r>
              <w:rPr>
                <w:rFonts w:hint="eastAsia" w:ascii="宋体" w:hAnsi="宋体" w:eastAsia="宋体"/>
                <w:sz w:val="21"/>
                <w:szCs w:val="21"/>
              </w:rPr>
              <w:t>应支持</w:t>
            </w:r>
            <w:r>
              <w:rPr>
                <w:rFonts w:ascii="宋体" w:hAnsi="宋体" w:eastAsia="宋体"/>
                <w:sz w:val="21"/>
                <w:szCs w:val="21"/>
              </w:rPr>
              <w:t>体腔</w:t>
            </w:r>
            <w:r>
              <w:rPr>
                <w:rFonts w:hint="eastAsia" w:ascii="宋体" w:hAnsi="宋体" w:eastAsia="宋体"/>
                <w:sz w:val="21"/>
                <w:szCs w:val="21"/>
              </w:rPr>
              <w:t>温度、</w:t>
            </w:r>
            <w:r>
              <w:rPr>
                <w:rFonts w:ascii="宋体" w:hAnsi="宋体" w:eastAsia="宋体"/>
                <w:sz w:val="21"/>
                <w:szCs w:val="21"/>
              </w:rPr>
              <w:t>体表温度</w:t>
            </w:r>
            <w:r>
              <w:rPr>
                <w:rFonts w:hint="eastAsia" w:ascii="宋体" w:hAnsi="宋体" w:eastAsia="宋体"/>
                <w:sz w:val="21"/>
                <w:szCs w:val="21"/>
              </w:rPr>
              <w:t>测量</w:t>
            </w:r>
            <w:r>
              <w:rPr>
                <w:rFonts w:hint="eastAsia" w:ascii="宋体" w:hAnsi="宋体" w:eastAsia="宋体"/>
                <w:sz w:val="21"/>
                <w:szCs w:val="21"/>
                <w:lang w:val="en-US" w:eastAsia="zh-CN"/>
              </w:rPr>
              <w:t>等</w:t>
            </w:r>
          </w:p>
        </w:tc>
      </w:tr>
      <w:tr w14:paraId="02D1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46" w:type="dxa"/>
            <w:vAlign w:val="center"/>
          </w:tcPr>
          <w:p w14:paraId="01F42BFE">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358" w:type="dxa"/>
            <w:vAlign w:val="center"/>
          </w:tcPr>
          <w:p w14:paraId="7976E150">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运动心肺测试系统</w:t>
            </w:r>
          </w:p>
        </w:tc>
        <w:tc>
          <w:tcPr>
            <w:tcW w:w="648" w:type="dxa"/>
            <w:vAlign w:val="center"/>
          </w:tcPr>
          <w:p w14:paraId="4DCC7235">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7139BA0C">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心肺系统疾病的诊断、运动风险评估、运动康复评定、分析运动过程中心率变化、血压变化、呼吸及代谢参数</w:t>
            </w:r>
            <w:r>
              <w:rPr>
                <w:rFonts w:hint="eastAsia" w:ascii="宋体" w:hAnsi="宋体" w:eastAsia="宋体" w:cs="宋体"/>
                <w:kern w:val="0"/>
                <w:szCs w:val="21"/>
                <w:lang w:val="en-US" w:eastAsia="zh-CN"/>
              </w:rPr>
              <w:t>等，具有QT离散度分析功能，多次测量的结果具有比较功能等</w:t>
            </w:r>
          </w:p>
        </w:tc>
      </w:tr>
      <w:tr w14:paraId="7D5A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5865F7D">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3358" w:type="dxa"/>
            <w:vAlign w:val="center"/>
          </w:tcPr>
          <w:p w14:paraId="7DA146EF">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负荷运动训练测试系统</w:t>
            </w:r>
          </w:p>
        </w:tc>
        <w:tc>
          <w:tcPr>
            <w:tcW w:w="648" w:type="dxa"/>
            <w:vAlign w:val="center"/>
          </w:tcPr>
          <w:p w14:paraId="2D18362D">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323026C8">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可以执行多种不同的运动训练方案，根据不同的训练目的和患者情况，可编辑并实施心率恒定、心率递增、心率脉冲、功率恒定、功率递增、功率脉冲等多种个性化的训练方案等</w:t>
            </w:r>
            <w:r>
              <w:rPr>
                <w:rFonts w:hint="eastAsia" w:ascii="宋体" w:hAnsi="宋体" w:eastAsia="宋体" w:cs="宋体"/>
                <w:kern w:val="0"/>
                <w:szCs w:val="21"/>
                <w:lang w:val="en-US" w:eastAsia="zh-CN"/>
              </w:rPr>
              <w:t>，配备运动血压测试仪。 能实时显示运动过程中的参数，如运动负荷、转速、血压、血氧、心率、心电波形等，可与PC端同步实时监控患者生理参数的变化，保障患者安全</w:t>
            </w:r>
          </w:p>
        </w:tc>
      </w:tr>
      <w:tr w14:paraId="67DC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685119F7">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3358" w:type="dxa"/>
            <w:vAlign w:val="center"/>
          </w:tcPr>
          <w:p w14:paraId="57941F0B">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超广角眼底成像</w:t>
            </w:r>
          </w:p>
        </w:tc>
        <w:tc>
          <w:tcPr>
            <w:tcW w:w="648" w:type="dxa"/>
            <w:vAlign w:val="center"/>
          </w:tcPr>
          <w:p w14:paraId="058B7861">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28274E5B">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拍摄高清超广角眼底照片，筛查眼底疾病等</w:t>
            </w:r>
            <w:r>
              <w:rPr>
                <w:rFonts w:hint="eastAsia" w:ascii="宋体" w:hAnsi="宋体" w:eastAsia="宋体" w:cs="宋体"/>
                <w:kern w:val="0"/>
                <w:szCs w:val="21"/>
                <w:lang w:val="en-US" w:eastAsia="zh-CN"/>
              </w:rPr>
              <w:t>，无创、非接触、免散瞳，共焦激光成像，支持同步造影，动态录像，自动拼图，可连接医院信息系统或其他设备等</w:t>
            </w:r>
          </w:p>
        </w:tc>
      </w:tr>
      <w:tr w14:paraId="77F8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26028918">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3358" w:type="dxa"/>
            <w:vAlign w:val="center"/>
          </w:tcPr>
          <w:p w14:paraId="332F0EB2">
            <w:pPr>
              <w:keepNext w:val="0"/>
              <w:keepLines w:val="0"/>
              <w:widowControl/>
              <w:suppressLineNumbers w:val="0"/>
              <w:jc w:val="center"/>
              <w:textAlignment w:val="center"/>
              <w:rPr>
                <w:rFonts w:hint="eastAsia" w:ascii="宋体" w:hAnsi="宋体" w:eastAsia="宋体" w:cs="宋体"/>
                <w:kern w:val="0"/>
                <w:szCs w:val="21"/>
              </w:rPr>
            </w:pPr>
            <w:r>
              <w:rPr>
                <w:rFonts w:hint="default" w:ascii="Times New Roman" w:hAnsi="Times New Roman" w:eastAsia="等线" w:cs="Times New Roman"/>
                <w:i w:val="0"/>
                <w:iCs w:val="0"/>
                <w:color w:val="000000"/>
                <w:kern w:val="0"/>
                <w:sz w:val="22"/>
                <w:szCs w:val="22"/>
                <w:u w:val="none"/>
                <w:lang w:val="en-US" w:eastAsia="zh-CN" w:bidi="ar"/>
              </w:rPr>
              <w:t>YAG</w:t>
            </w:r>
            <w:r>
              <w:rPr>
                <w:rFonts w:hint="eastAsia" w:ascii="宋体" w:hAnsi="宋体" w:eastAsia="宋体" w:cs="宋体"/>
                <w:i w:val="0"/>
                <w:iCs w:val="0"/>
                <w:color w:val="000000"/>
                <w:kern w:val="0"/>
                <w:sz w:val="22"/>
                <w:szCs w:val="22"/>
                <w:u w:val="none"/>
                <w:lang w:val="en-US" w:eastAsia="zh-CN" w:bidi="ar"/>
              </w:rPr>
              <w:t>激光机</w:t>
            </w:r>
          </w:p>
        </w:tc>
        <w:tc>
          <w:tcPr>
            <w:tcW w:w="648" w:type="dxa"/>
            <w:vAlign w:val="center"/>
          </w:tcPr>
          <w:p w14:paraId="376302DD">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2D36DD1C">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治疗眼前节疾病，例如后发性白内障等</w:t>
            </w:r>
            <w:r>
              <w:rPr>
                <w:rFonts w:hint="eastAsia" w:ascii="宋体" w:hAnsi="宋体" w:eastAsia="宋体" w:cs="宋体"/>
                <w:kern w:val="0"/>
                <w:szCs w:val="21"/>
                <w:lang w:val="en-US" w:eastAsia="zh-CN"/>
              </w:rPr>
              <w:t>，包含内耦合技术，固定真彩滤光片，采用聚焦瞄准系统等</w:t>
            </w:r>
          </w:p>
        </w:tc>
      </w:tr>
    </w:tbl>
    <w:p w14:paraId="37ED21EB">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36CCF53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378A23D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79B178E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4285EC2F">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6B51C8FD">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19E2F36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2C74BCAD">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13</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附件</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125646B9">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49FA8991">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02FBACF5">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2979C43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3091AA1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66E13C0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0CC6323">
      <w:pPr>
        <w:widowControl/>
        <w:spacing w:before="100" w:beforeAutospacing="1" w:after="100" w:afterAutospacing="1"/>
        <w:ind w:firstLine="288"/>
        <w:jc w:val="left"/>
        <w:rPr>
          <w:rFonts w:hint="eastAsia" w:ascii="宋体" w:hAnsi="宋体" w:eastAsia="宋体" w:cs="宋体"/>
          <w:kern w:val="0"/>
          <w:szCs w:val="21"/>
        </w:rPr>
      </w:pPr>
    </w:p>
    <w:p w14:paraId="22B57DE4">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w:t>
      </w:r>
      <w:r>
        <w:rPr>
          <w:rFonts w:hint="eastAsia" w:ascii="宋体" w:hAnsi="宋体" w:eastAsia="宋体" w:cs="宋体"/>
          <w:b/>
          <w:bCs/>
          <w:kern w:val="0"/>
          <w:szCs w:val="21"/>
          <w:lang w:val="en-US" w:eastAsia="zh-CN"/>
        </w:rPr>
        <w:t>调研论证报名文件</w:t>
      </w:r>
    </w:p>
    <w:p w14:paraId="6BE17739">
      <w:pPr>
        <w:jc w:val="right"/>
        <w:rPr>
          <w:rFonts w:ascii="宋体" w:hAnsi="宋体" w:eastAsia="宋体" w:cs="宋体"/>
          <w:kern w:val="0"/>
          <w:szCs w:val="21"/>
        </w:rPr>
      </w:pPr>
    </w:p>
    <w:p w14:paraId="6706B844">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0142B02F">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7</w:t>
      </w:r>
      <w:bookmarkStart w:id="1" w:name="_GoBack"/>
      <w:bookmarkEnd w:id="1"/>
      <w:r>
        <w:rPr>
          <w:rFonts w:hint="eastAsia" w:ascii="宋体" w:hAnsi="宋体" w:eastAsia="宋体" w:cs="宋体"/>
          <w:kern w:val="0"/>
          <w:szCs w:val="21"/>
        </w:rPr>
        <w:t>日</w:t>
      </w:r>
    </w:p>
    <w:p w14:paraId="5FEFFA38">
      <w:pPr>
        <w:jc w:val="right"/>
        <w:rPr>
          <w:rFonts w:hint="eastAsia" w:ascii="宋体" w:hAnsi="宋体" w:eastAsia="宋体" w:cs="宋体"/>
          <w:kern w:val="0"/>
          <w:szCs w:val="21"/>
        </w:rPr>
      </w:pPr>
    </w:p>
    <w:p w14:paraId="2D9CF3B3">
      <w:pPr>
        <w:jc w:val="right"/>
        <w:rPr>
          <w:rFonts w:hint="eastAsia" w:ascii="宋体" w:hAnsi="宋体" w:eastAsia="宋体" w:cs="宋体"/>
          <w:kern w:val="0"/>
          <w:szCs w:val="21"/>
        </w:rPr>
      </w:pPr>
    </w:p>
    <w:p w14:paraId="1BBFF95A">
      <w:pPr>
        <w:jc w:val="right"/>
        <w:rPr>
          <w:rFonts w:hint="eastAsia" w:ascii="宋体" w:hAnsi="宋体" w:eastAsia="宋体" w:cs="宋体"/>
          <w:kern w:val="0"/>
          <w:szCs w:val="21"/>
        </w:rPr>
      </w:pPr>
    </w:p>
    <w:p w14:paraId="3F1071CC">
      <w:pPr>
        <w:jc w:val="right"/>
        <w:rPr>
          <w:rFonts w:hint="eastAsia" w:ascii="宋体" w:hAnsi="宋体" w:eastAsia="宋体" w:cs="宋体"/>
          <w:kern w:val="0"/>
          <w:szCs w:val="21"/>
        </w:rPr>
      </w:pPr>
    </w:p>
    <w:p w14:paraId="769A7F68">
      <w:pPr>
        <w:jc w:val="right"/>
        <w:rPr>
          <w:rFonts w:hint="eastAsia" w:ascii="宋体" w:hAnsi="宋体" w:eastAsia="宋体" w:cs="宋体"/>
          <w:kern w:val="0"/>
          <w:szCs w:val="21"/>
        </w:rPr>
      </w:pPr>
    </w:p>
    <w:p w14:paraId="7EB7BC35">
      <w:pPr>
        <w:jc w:val="right"/>
        <w:rPr>
          <w:rFonts w:hint="eastAsia" w:ascii="宋体" w:hAnsi="宋体" w:eastAsia="宋体" w:cs="宋体"/>
          <w:kern w:val="0"/>
          <w:szCs w:val="21"/>
        </w:rPr>
      </w:pPr>
    </w:p>
    <w:p w14:paraId="0E1989BD">
      <w:pPr>
        <w:jc w:val="left"/>
        <w:rPr>
          <w:rFonts w:hint="eastAsia" w:ascii="宋体" w:hAnsi="宋体" w:eastAsia="宋体" w:cs="宋体"/>
          <w:kern w:val="0"/>
          <w:szCs w:val="21"/>
          <w:lang w:val="en-US" w:eastAsia="zh-CN"/>
        </w:rPr>
      </w:pPr>
    </w:p>
    <w:p w14:paraId="11856980">
      <w:pPr>
        <w:jc w:val="left"/>
        <w:rPr>
          <w:rFonts w:hint="eastAsia" w:ascii="宋体" w:hAnsi="宋体" w:eastAsia="宋体" w:cs="宋体"/>
          <w:kern w:val="0"/>
          <w:szCs w:val="21"/>
          <w:lang w:val="en-US" w:eastAsia="zh-CN"/>
        </w:rPr>
      </w:pPr>
    </w:p>
    <w:p w14:paraId="042541F9">
      <w:pPr>
        <w:jc w:val="left"/>
        <w:rPr>
          <w:rFonts w:hint="eastAsia" w:ascii="宋体" w:hAnsi="宋体" w:eastAsia="宋体" w:cs="宋体"/>
          <w:kern w:val="0"/>
          <w:szCs w:val="21"/>
          <w:lang w:val="en-US" w:eastAsia="zh-CN"/>
        </w:rPr>
      </w:pPr>
    </w:p>
    <w:p w14:paraId="4B690673">
      <w:pPr>
        <w:jc w:val="center"/>
        <w:rPr>
          <w:rFonts w:hint="eastAsia" w:ascii="黑体" w:hAnsi="黑体" w:eastAsia="黑体" w:cs="黑体"/>
          <w:sz w:val="84"/>
          <w:szCs w:val="84"/>
          <w:lang w:val="en-US" w:eastAsia="zh-CN"/>
        </w:rPr>
        <w:sectPr>
          <w:pgSz w:w="11906" w:h="16838"/>
          <w:pgMar w:top="12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5167381E">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12515FB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294CC86">
      <w:pPr>
        <w:jc w:val="center"/>
        <w:rPr>
          <w:rFonts w:hint="eastAsia" w:ascii="黑体" w:hAnsi="黑体" w:eastAsia="黑体" w:cs="黑体"/>
          <w:sz w:val="52"/>
          <w:szCs w:val="52"/>
          <w:lang w:val="en-US" w:eastAsia="zh-CN"/>
        </w:rPr>
      </w:pPr>
    </w:p>
    <w:p w14:paraId="31378EF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573ECA5F">
      <w:pPr>
        <w:rPr>
          <w:rFonts w:hint="eastAsia"/>
          <w:lang w:val="en-US" w:eastAsia="zh-CN"/>
        </w:rPr>
      </w:pPr>
    </w:p>
    <w:p w14:paraId="5D865F37">
      <w:pPr>
        <w:rPr>
          <w:rFonts w:hint="eastAsia" w:ascii="黑体" w:hAnsi="黑体" w:eastAsia="黑体" w:cs="黑体"/>
          <w:sz w:val="32"/>
          <w:szCs w:val="32"/>
          <w:lang w:val="en-US" w:eastAsia="zh-CN"/>
        </w:rPr>
      </w:pPr>
    </w:p>
    <w:p w14:paraId="2981F5C0">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GYSYSBZXTZ2025010</w:t>
      </w:r>
    </w:p>
    <w:p w14:paraId="458C5E8C">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广州医科大学附属第四医院2025年度医疗设备听证（十二）</w:t>
      </w:r>
    </w:p>
    <w:p w14:paraId="51577C9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0592B8A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515D0227">
      <w:pPr>
        <w:rPr>
          <w:rFonts w:hint="eastAsia" w:ascii="黑体" w:hAnsi="黑体" w:eastAsia="黑体" w:cs="黑体"/>
          <w:sz w:val="32"/>
          <w:szCs w:val="32"/>
          <w:lang w:val="en-US" w:eastAsia="zh-CN"/>
        </w:rPr>
      </w:pPr>
    </w:p>
    <w:p w14:paraId="6D5660F4">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AB9F41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76A34AF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8F6069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322EE4DE">
      <w:pPr>
        <w:rPr>
          <w:rFonts w:hint="eastAsia" w:ascii="黑体" w:hAnsi="黑体" w:eastAsia="黑体" w:cs="黑体"/>
          <w:sz w:val="32"/>
          <w:szCs w:val="32"/>
          <w:lang w:val="en-US" w:eastAsia="zh-CN"/>
        </w:rPr>
      </w:pPr>
    </w:p>
    <w:p w14:paraId="0412797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0782DC27">
      <w:pPr>
        <w:rPr>
          <w:rFonts w:hint="eastAsia" w:ascii="仿宋" w:hAnsi="仿宋" w:eastAsia="仿宋" w:cs="仿宋"/>
          <w:sz w:val="28"/>
          <w:szCs w:val="28"/>
          <w:lang w:val="en-US" w:eastAsia="zh-CN"/>
        </w:rPr>
      </w:pPr>
    </w:p>
    <w:p w14:paraId="7E51D049">
      <w:pPr>
        <w:jc w:val="center"/>
        <w:rPr>
          <w:rFonts w:hint="eastAsia" w:ascii="黑体" w:hAnsi="黑体" w:eastAsia="黑体" w:cs="黑体"/>
          <w:sz w:val="44"/>
          <w:szCs w:val="44"/>
          <w:lang w:val="en-US" w:eastAsia="zh-CN"/>
        </w:rPr>
      </w:pP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4440E562">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7C26756"/>
    <w:rsid w:val="08907387"/>
    <w:rsid w:val="0BBD7257"/>
    <w:rsid w:val="0F4A52C7"/>
    <w:rsid w:val="11915D0D"/>
    <w:rsid w:val="15106DCE"/>
    <w:rsid w:val="166450E1"/>
    <w:rsid w:val="176638A6"/>
    <w:rsid w:val="18683255"/>
    <w:rsid w:val="19E95123"/>
    <w:rsid w:val="1AD11E96"/>
    <w:rsid w:val="1BD34839"/>
    <w:rsid w:val="1D147FB7"/>
    <w:rsid w:val="1D410040"/>
    <w:rsid w:val="1D536417"/>
    <w:rsid w:val="218A52BB"/>
    <w:rsid w:val="23F44106"/>
    <w:rsid w:val="275A6452"/>
    <w:rsid w:val="2AF9490D"/>
    <w:rsid w:val="2C732934"/>
    <w:rsid w:val="2C8E6136"/>
    <w:rsid w:val="2EAA2956"/>
    <w:rsid w:val="2EE074B7"/>
    <w:rsid w:val="30FF47BD"/>
    <w:rsid w:val="32123919"/>
    <w:rsid w:val="37105266"/>
    <w:rsid w:val="38A12696"/>
    <w:rsid w:val="3D69136E"/>
    <w:rsid w:val="42A7342F"/>
    <w:rsid w:val="43211A2B"/>
    <w:rsid w:val="459B3BA5"/>
    <w:rsid w:val="45F9038C"/>
    <w:rsid w:val="48D563EE"/>
    <w:rsid w:val="4DB4715F"/>
    <w:rsid w:val="4F5E3050"/>
    <w:rsid w:val="51261F2B"/>
    <w:rsid w:val="53C4546E"/>
    <w:rsid w:val="53F80C41"/>
    <w:rsid w:val="58C06A9A"/>
    <w:rsid w:val="59E80E2B"/>
    <w:rsid w:val="5A285D45"/>
    <w:rsid w:val="5C0C05B0"/>
    <w:rsid w:val="5CAE513F"/>
    <w:rsid w:val="5D447DCA"/>
    <w:rsid w:val="5F0A34BF"/>
    <w:rsid w:val="5FF646C5"/>
    <w:rsid w:val="600E33F2"/>
    <w:rsid w:val="60100D25"/>
    <w:rsid w:val="60BD2EBC"/>
    <w:rsid w:val="611A584D"/>
    <w:rsid w:val="617445B9"/>
    <w:rsid w:val="63D27C36"/>
    <w:rsid w:val="6A611BA5"/>
    <w:rsid w:val="6A9952D7"/>
    <w:rsid w:val="6B080305"/>
    <w:rsid w:val="6EC55793"/>
    <w:rsid w:val="6FED6A31"/>
    <w:rsid w:val="70F16351"/>
    <w:rsid w:val="72595283"/>
    <w:rsid w:val="72CC0858"/>
    <w:rsid w:val="72E726B7"/>
    <w:rsid w:val="74E036A4"/>
    <w:rsid w:val="79890A6E"/>
    <w:rsid w:val="7AB67857"/>
    <w:rsid w:val="7B5F7623"/>
    <w:rsid w:val="7B791E00"/>
    <w:rsid w:val="7C700AE1"/>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3771</Words>
  <Characters>3945</Characters>
  <Lines>12</Lines>
  <Paragraphs>3</Paragraphs>
  <TotalTime>0</TotalTime>
  <ScaleCrop>false</ScaleCrop>
  <LinksUpToDate>false</LinksUpToDate>
  <CharactersWithSpaces>4468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2025-05-07T01:27:56Z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3882DE2CF49341868BA4D4E5E76FCD54_13</vt:lpwstr>
  </property>
  <property fmtid="{D5CDD505-2E9C-101B-9397-08002B2CF9AE}" pid="4" name="KSOTemplateDocerSaveRecord">
    <vt:lpwstr>eyJoZGlkIjoiMWIyNmRhNjk1NTMxODYyNGVkZTEwYmJhYTlkMTMyY2EiLCJ1c2VySWQiOiIyNjAwODY1NDMifQ==</vt:lpwstr>
  </property>
</Properties>
</file>